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35" w:rsidRDefault="00F53FD4" w:rsidP="00F53FD4">
      <w:pPr>
        <w:ind w:left="-270"/>
        <w:jc w:val="center"/>
        <w:rPr>
          <w:sz w:val="32"/>
        </w:rPr>
      </w:pPr>
      <w:r>
        <w:rPr>
          <w:b/>
          <w:sz w:val="32"/>
        </w:rPr>
        <w:t xml:space="preserve">How </w:t>
      </w:r>
      <w:proofErr w:type="gramStart"/>
      <w:r w:rsidR="00C05661">
        <w:rPr>
          <w:b/>
          <w:sz w:val="32"/>
        </w:rPr>
        <w:t>To</w:t>
      </w:r>
      <w:proofErr w:type="gramEnd"/>
      <w:r w:rsidR="00C05661">
        <w:rPr>
          <w:b/>
          <w:sz w:val="32"/>
        </w:rPr>
        <w:t xml:space="preserve"> Use This Resource</w:t>
      </w:r>
    </w:p>
    <w:p w:rsidR="00F53FD4" w:rsidRDefault="00F53FD4" w:rsidP="00F53FD4">
      <w:pPr>
        <w:ind w:left="-270"/>
        <w:jc w:val="center"/>
        <w:rPr>
          <w:sz w:val="32"/>
        </w:rPr>
      </w:pPr>
    </w:p>
    <w:p w:rsidR="00F53FD4" w:rsidRDefault="00F53FD4" w:rsidP="00F53FD4">
      <w:pPr>
        <w:ind w:left="-270"/>
        <w:rPr>
          <w:sz w:val="24"/>
        </w:rPr>
      </w:pPr>
      <w:r>
        <w:rPr>
          <w:sz w:val="24"/>
        </w:rPr>
        <w:t xml:space="preserve">These exercise templates were developed in order to provide a resource to healthcare facilities in order to assist in the development and planning of exercises related to Emerging Infectious Diseases (EID), High-Consequence Infectious Diseases (HCID), or Special Pathogens. For current guidance about specific pathogens, you can find the most up-to-date information on the CDC website: </w:t>
      </w:r>
      <w:hyperlink r:id="rId7" w:history="1">
        <w:r w:rsidRPr="00113530">
          <w:rPr>
            <w:rStyle w:val="Hyperlink"/>
            <w:sz w:val="24"/>
          </w:rPr>
          <w:t>https://www.cdc.gov/outbreaks/index.html</w:t>
        </w:r>
      </w:hyperlink>
      <w:r>
        <w:rPr>
          <w:sz w:val="24"/>
        </w:rPr>
        <w:t xml:space="preserve"> </w:t>
      </w:r>
    </w:p>
    <w:p w:rsidR="00F53FD4" w:rsidRDefault="00F53FD4" w:rsidP="00F53FD4">
      <w:pPr>
        <w:ind w:left="-270"/>
        <w:rPr>
          <w:sz w:val="24"/>
        </w:rPr>
      </w:pPr>
      <w:r>
        <w:rPr>
          <w:sz w:val="24"/>
        </w:rPr>
        <w:t xml:space="preserve">These templates are designed to assist in the creation of exercises testing various components of response to an EID/HCID, and should be modified in accordance with your facility’s policies, procedures, and best practices. </w:t>
      </w:r>
    </w:p>
    <w:p w:rsidR="00F53FD4" w:rsidRDefault="00F53FD4" w:rsidP="00F53FD4">
      <w:pPr>
        <w:ind w:left="-270"/>
        <w:rPr>
          <w:sz w:val="24"/>
        </w:rPr>
      </w:pPr>
      <w:r>
        <w:rPr>
          <w:sz w:val="24"/>
        </w:rPr>
        <w:t>These tools are developed using HSEEP-compliant formats, but can be tailored to your facility’s needs as necessary.</w:t>
      </w:r>
      <w:r w:rsidR="00C05661">
        <w:rPr>
          <w:sz w:val="24"/>
        </w:rPr>
        <w:t xml:space="preserve"> The Core Capabilities assigned are in alignment with ASPR’s Core Capabilities, though they may be substituted for other core capabilities, as used by your organization. </w:t>
      </w:r>
      <w:bookmarkStart w:id="0" w:name="_GoBack"/>
      <w:bookmarkEnd w:id="0"/>
    </w:p>
    <w:p w:rsidR="00F53FD4" w:rsidRDefault="00F53FD4" w:rsidP="00F53FD4">
      <w:pPr>
        <w:ind w:left="-270"/>
        <w:rPr>
          <w:sz w:val="24"/>
        </w:rPr>
      </w:pPr>
      <w:r>
        <w:rPr>
          <w:sz w:val="24"/>
        </w:rPr>
        <w:t>Included in this packet are:</w:t>
      </w:r>
    </w:p>
    <w:p w:rsidR="00F53FD4" w:rsidRDefault="00F53FD4" w:rsidP="00F53FD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Introductory Letter</w:t>
      </w:r>
    </w:p>
    <w:p w:rsidR="00F53FD4" w:rsidRDefault="00F53FD4" w:rsidP="00F53FD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Exercise Plan (</w:t>
      </w:r>
      <w:proofErr w:type="spellStart"/>
      <w:r>
        <w:rPr>
          <w:sz w:val="24"/>
        </w:rPr>
        <w:t>ExPlan</w:t>
      </w:r>
      <w:proofErr w:type="spellEnd"/>
      <w:r>
        <w:rPr>
          <w:sz w:val="24"/>
        </w:rPr>
        <w:t>)</w:t>
      </w:r>
      <w:r w:rsidR="009F456A">
        <w:rPr>
          <w:sz w:val="24"/>
        </w:rPr>
        <w:t xml:space="preserve"> &amp; Master Scenario Events List (MSEL)</w:t>
      </w:r>
    </w:p>
    <w:p w:rsidR="00F53FD4" w:rsidRDefault="00F53FD4" w:rsidP="00F53FD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Exercise Evaluation Guide (EEG)</w:t>
      </w:r>
    </w:p>
    <w:p w:rsidR="00F53FD4" w:rsidRDefault="00F53FD4" w:rsidP="009F45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After-Action Report &amp; Improvement Plan (AAR/IP)</w:t>
      </w:r>
    </w:p>
    <w:p w:rsidR="009F456A" w:rsidRPr="009F456A" w:rsidRDefault="009F456A" w:rsidP="009F456A">
      <w:pPr>
        <w:pStyle w:val="ListParagraph"/>
        <w:ind w:left="450"/>
        <w:rPr>
          <w:sz w:val="24"/>
        </w:rPr>
      </w:pPr>
    </w:p>
    <w:p w:rsidR="00F53FD4" w:rsidRDefault="00F53FD4" w:rsidP="00F53FD4">
      <w:pPr>
        <w:ind w:left="-270"/>
        <w:rPr>
          <w:sz w:val="24"/>
        </w:rPr>
      </w:pPr>
      <w:r>
        <w:rPr>
          <w:sz w:val="24"/>
        </w:rPr>
        <w:t>For additional information, you can find additional resources at:</w:t>
      </w:r>
    </w:p>
    <w:p w:rsidR="00F53FD4" w:rsidRDefault="00F53FD4" w:rsidP="00F53FD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NYC Health + Hospitals/Bellevue Special Pathogens Program (Region 2 RESPTC)</w:t>
      </w:r>
    </w:p>
    <w:p w:rsidR="00F53FD4" w:rsidRDefault="00F53FD4" w:rsidP="00F53FD4">
      <w:pPr>
        <w:pStyle w:val="ListParagraph"/>
        <w:ind w:left="450"/>
        <w:rPr>
          <w:sz w:val="24"/>
        </w:rPr>
      </w:pPr>
      <w:r w:rsidRPr="00F53FD4">
        <w:rPr>
          <w:sz w:val="24"/>
          <w:highlight w:val="yellow"/>
        </w:rPr>
        <w:t>[INSERT LINK]</w:t>
      </w:r>
    </w:p>
    <w:p w:rsidR="00F53FD4" w:rsidRPr="00F53FD4" w:rsidRDefault="00F53FD4" w:rsidP="00F53FD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National Emerging Special Pathogens Training &amp; Education Center (NETEC) </w:t>
      </w:r>
      <w:hyperlink r:id="rId8" w:history="1">
        <w:r w:rsidRPr="00113530">
          <w:rPr>
            <w:rStyle w:val="Hyperlink"/>
            <w:sz w:val="24"/>
          </w:rPr>
          <w:t>https://netec.org/</w:t>
        </w:r>
      </w:hyperlink>
      <w:r>
        <w:rPr>
          <w:sz w:val="24"/>
        </w:rPr>
        <w:t xml:space="preserve"> </w:t>
      </w:r>
    </w:p>
    <w:sectPr w:rsidR="00F53FD4" w:rsidRPr="00F53FD4" w:rsidSect="007C3D8A">
      <w:headerReference w:type="default" r:id="rId9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AE" w:rsidRDefault="003653AE" w:rsidP="007C3D8A">
      <w:pPr>
        <w:spacing w:after="0" w:line="240" w:lineRule="auto"/>
      </w:pPr>
      <w:r>
        <w:separator/>
      </w:r>
    </w:p>
  </w:endnote>
  <w:endnote w:type="continuationSeparator" w:id="0">
    <w:p w:rsidR="003653AE" w:rsidRDefault="003653AE" w:rsidP="007C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AE" w:rsidRDefault="003653AE" w:rsidP="007C3D8A">
      <w:pPr>
        <w:spacing w:after="0" w:line="240" w:lineRule="auto"/>
      </w:pPr>
      <w:r>
        <w:separator/>
      </w:r>
    </w:p>
  </w:footnote>
  <w:footnote w:type="continuationSeparator" w:id="0">
    <w:p w:rsidR="003653AE" w:rsidRDefault="003653AE" w:rsidP="007C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D8A" w:rsidRDefault="007C3D8A" w:rsidP="007C3D8A">
    <w:pPr>
      <w:pStyle w:val="Header"/>
      <w:ind w:left="-54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3590925</wp:posOffset>
              </wp:positionH>
              <wp:positionV relativeFrom="paragraph">
                <wp:posOffset>-57150</wp:posOffset>
              </wp:positionV>
              <wp:extent cx="2905125" cy="5905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3D8A" w:rsidRPr="00313155" w:rsidRDefault="00F53FD4" w:rsidP="007C3D8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2060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32"/>
                            </w:rPr>
                            <w:t>Special Pathogen</w:t>
                          </w:r>
                        </w:p>
                        <w:p w:rsidR="007C3D8A" w:rsidRPr="00313155" w:rsidRDefault="00F53FD4" w:rsidP="007C3D8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2060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060"/>
                              <w:sz w:val="32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75pt;margin-top:-4.5pt;width:228.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" filled="f" stroked="f">
              <v:textbox>
                <w:txbxContent>
                  <w:p w:rsidR="007C3D8A" w:rsidRPr="00313155" w:rsidRDefault="00F53FD4" w:rsidP="007C3D8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32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32"/>
                      </w:rPr>
                      <w:t>Special Pathogen</w:t>
                    </w:r>
                  </w:p>
                  <w:p w:rsidR="007C3D8A" w:rsidRPr="00313155" w:rsidRDefault="00F53FD4" w:rsidP="007C3D8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32"/>
                      </w:rPr>
                    </w:pPr>
                    <w:r>
                      <w:rPr>
                        <w:rFonts w:ascii="Arial" w:hAnsi="Arial" w:cs="Arial"/>
                        <w:color w:val="002060"/>
                        <w:sz w:val="32"/>
                      </w:rPr>
                      <w:t>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F576E">
      <w:rPr>
        <w:noProof/>
      </w:rPr>
      <w:drawing>
        <wp:inline distT="0" distB="0" distL="0" distR="0">
          <wp:extent cx="2625204" cy="4857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lev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686" cy="49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D8A" w:rsidRDefault="007C3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5DFA"/>
    <w:multiLevelType w:val="hybridMultilevel"/>
    <w:tmpl w:val="064A8A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649278E"/>
    <w:multiLevelType w:val="hybridMultilevel"/>
    <w:tmpl w:val="3D2ADAD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8A"/>
    <w:rsid w:val="002F576E"/>
    <w:rsid w:val="00313155"/>
    <w:rsid w:val="003653AE"/>
    <w:rsid w:val="007C3D8A"/>
    <w:rsid w:val="009F456A"/>
    <w:rsid w:val="00C05661"/>
    <w:rsid w:val="00E0685A"/>
    <w:rsid w:val="00E24F35"/>
    <w:rsid w:val="00F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8B1FAA"/>
  <w15:chartTrackingRefBased/>
  <w15:docId w15:val="{41324F80-CE9C-40E9-910C-483F30A9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8A"/>
  </w:style>
  <w:style w:type="paragraph" w:styleId="Footer">
    <w:name w:val="footer"/>
    <w:basedOn w:val="Normal"/>
    <w:link w:val="FooterChar"/>
    <w:uiPriority w:val="99"/>
    <w:unhideWhenUsed/>
    <w:rsid w:val="007C3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8A"/>
  </w:style>
  <w:style w:type="paragraph" w:styleId="ListParagraph">
    <w:name w:val="List Paragraph"/>
    <w:basedOn w:val="Normal"/>
    <w:uiPriority w:val="34"/>
    <w:qFormat/>
    <w:rsid w:val="00F53F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e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outbreak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Health and Hospitals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Guttsman, Jory</dc:creator>
  <cp:keywords/>
  <dc:description/>
  <cp:lastModifiedBy>Guttsman, Jory</cp:lastModifiedBy>
  <cp:revision>3</cp:revision>
  <dcterms:created xsi:type="dcterms:W3CDTF">2023-10-04T16:47:00Z</dcterms:created>
  <dcterms:modified xsi:type="dcterms:W3CDTF">2023-10-04T16:48:00Z</dcterms:modified>
</cp:coreProperties>
</file>